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E975" w14:textId="77777777" w:rsidR="006C2D67" w:rsidRDefault="00155031">
      <w:pPr>
        <w:pStyle w:val="BodyText"/>
        <w:spacing w:before="66"/>
        <w:rPr>
          <w:sz w:val="20"/>
        </w:rPr>
      </w:pPr>
      <w:r>
        <w:rPr>
          <w:noProof/>
          <w:sz w:val="20"/>
          <w:lang w:eastAsia="fr-CA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E64FAD" wp14:editId="588B4EE7">
                <wp:simplePos x="0" y="0"/>
                <wp:positionH relativeFrom="page">
                  <wp:posOffset>596900</wp:posOffset>
                </wp:positionH>
                <wp:positionV relativeFrom="page">
                  <wp:posOffset>247650</wp:posOffset>
                </wp:positionV>
                <wp:extent cx="76200" cy="93916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39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391650">
                              <a:moveTo>
                                <a:pt x="0" y="0"/>
                              </a:moveTo>
                              <a:lnTo>
                                <a:pt x="76200" y="9391650"/>
                              </a:lnTo>
                            </a:path>
                          </a:pathLst>
                        </a:custGeom>
                        <a:ln w="1333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83A0" id="Graphic 1" o:spid="_x0000_s1026" style="position:absolute;margin-left:47pt;margin-top:19.5pt;width:6pt;height:739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939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" path="m,l76200,9391650e" filled="f" strokecolor="#c00000" strokeweight="10.5pt">
                <v:path arrowok="t"/>
                <w10:wrap anchorx="page" anchory="page"/>
              </v:shape>
            </w:pict>
          </mc:Fallback>
        </mc:AlternateContent>
      </w:r>
    </w:p>
    <w:p w14:paraId="516520BE" w14:textId="77777777" w:rsidR="006C2D67" w:rsidRDefault="00155031">
      <w:pPr>
        <w:ind w:left="4179"/>
        <w:rPr>
          <w:sz w:val="20"/>
        </w:rPr>
      </w:pPr>
      <w:r>
        <w:rPr>
          <w:noProof/>
          <w:sz w:val="20"/>
          <w:lang w:eastAsia="fr-CA"/>
        </w:rPr>
        <w:drawing>
          <wp:inline distT="0" distB="0" distL="0" distR="0" wp14:anchorId="735ED074" wp14:editId="176FEF80">
            <wp:extent cx="805900" cy="8581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00" cy="85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600F3" w14:textId="77777777" w:rsidR="006C2D67" w:rsidRDefault="00155031">
      <w:pPr>
        <w:spacing w:before="27"/>
        <w:ind w:left="3810" w:right="3880"/>
        <w:jc w:val="center"/>
        <w:rPr>
          <w:b/>
          <w:sz w:val="14"/>
        </w:rPr>
      </w:pPr>
      <w:r>
        <w:rPr>
          <w:b/>
          <w:sz w:val="14"/>
        </w:rPr>
        <w:t>COUR DU BANC DU ROI DE LA SASKATCHEWAN</w:t>
      </w:r>
    </w:p>
    <w:p w14:paraId="0E7F41A6" w14:textId="77777777" w:rsidR="006C2D67" w:rsidRDefault="006C2D67">
      <w:pPr>
        <w:pStyle w:val="BodyText"/>
        <w:rPr>
          <w:b/>
          <w:sz w:val="14"/>
        </w:rPr>
      </w:pPr>
    </w:p>
    <w:p w14:paraId="6E6032BC" w14:textId="77777777" w:rsidR="00326F5B" w:rsidRDefault="00155031" w:rsidP="00326F5B">
      <w:pPr>
        <w:pStyle w:val="Heading1"/>
        <w:spacing w:before="60" w:line="360" w:lineRule="auto"/>
        <w:ind w:left="284" w:right="221"/>
        <w:jc w:val="center"/>
      </w:pPr>
      <w:r>
        <w:t xml:space="preserve">AFFAIRES CRIMINELLES </w:t>
      </w:r>
      <w:r w:rsidR="00326F5B">
        <w:t>–</w:t>
      </w:r>
      <w:r>
        <w:t xml:space="preserve"> DIRECTIVE DE PRATIQUE N</w:t>
      </w:r>
      <w:r>
        <w:rPr>
          <w:vertAlign w:val="superscript"/>
        </w:rPr>
        <w:t>O</w:t>
      </w:r>
      <w:r w:rsidR="00326F5B">
        <w:t> </w:t>
      </w:r>
      <w:r>
        <w:t>15</w:t>
      </w:r>
    </w:p>
    <w:p w14:paraId="5E598809" w14:textId="7B875BAA" w:rsidR="006C2D67" w:rsidRDefault="00155031" w:rsidP="00326F5B">
      <w:pPr>
        <w:pStyle w:val="Heading1"/>
        <w:spacing w:line="480" w:lineRule="auto"/>
        <w:ind w:left="284" w:right="221"/>
        <w:jc w:val="center"/>
      </w:pPr>
      <w:r>
        <w:rPr>
          <w:u w:val="single"/>
        </w:rPr>
        <w:t>MANDATS D</w:t>
      </w:r>
      <w:r w:rsidR="00326F5B">
        <w:rPr>
          <w:u w:val="single"/>
        </w:rPr>
        <w:t>’</w:t>
      </w:r>
      <w:r>
        <w:rPr>
          <w:u w:val="single"/>
        </w:rPr>
        <w:t>ARRÊT DÉLIVRÉS PAR LE TRIBUNAL</w:t>
      </w:r>
    </w:p>
    <w:p w14:paraId="2BC4A97F" w14:textId="1E0A744F" w:rsidR="006C2D67" w:rsidRDefault="00155031">
      <w:pPr>
        <w:spacing w:before="2"/>
        <w:ind w:left="288"/>
        <w:rPr>
          <w:b/>
          <w:sz w:val="26"/>
        </w:rPr>
      </w:pPr>
      <w:r>
        <w:rPr>
          <w:b/>
          <w:sz w:val="26"/>
        </w:rPr>
        <w:t>RÉFÉRENCE</w:t>
      </w:r>
      <w:r w:rsidR="00326F5B">
        <w:rPr>
          <w:b/>
          <w:sz w:val="26"/>
        </w:rPr>
        <w:t> </w:t>
      </w:r>
      <w:r>
        <w:rPr>
          <w:b/>
          <w:sz w:val="26"/>
        </w:rPr>
        <w:t>: CRIM-DP n</w:t>
      </w:r>
      <w:r>
        <w:rPr>
          <w:b/>
          <w:sz w:val="26"/>
          <w:vertAlign w:val="superscript"/>
        </w:rPr>
        <w:t>o</w:t>
      </w:r>
      <w:r>
        <w:rPr>
          <w:b/>
          <w:sz w:val="26"/>
        </w:rPr>
        <w:t> 15</w:t>
      </w:r>
    </w:p>
    <w:p w14:paraId="54696CDD" w14:textId="40F05383" w:rsidR="006C2D67" w:rsidRDefault="00155031" w:rsidP="00326F5B">
      <w:pPr>
        <w:spacing w:before="60"/>
        <w:ind w:left="289"/>
        <w:rPr>
          <w:sz w:val="26"/>
        </w:rPr>
      </w:pPr>
      <w:r>
        <w:rPr>
          <w:b/>
          <w:sz w:val="26"/>
        </w:rPr>
        <w:t>Entrée en vigueur</w:t>
      </w:r>
      <w:r w:rsidR="00326F5B">
        <w:rPr>
          <w:b/>
          <w:sz w:val="26"/>
        </w:rPr>
        <w:t> </w:t>
      </w:r>
      <w:r>
        <w:rPr>
          <w:b/>
          <w:sz w:val="26"/>
        </w:rPr>
        <w:t xml:space="preserve">: </w:t>
      </w:r>
      <w:r>
        <w:rPr>
          <w:sz w:val="26"/>
        </w:rPr>
        <w:t>Le 1</w:t>
      </w:r>
      <w:r w:rsidR="00326F5B" w:rsidRPr="00326F5B">
        <w:rPr>
          <w:sz w:val="26"/>
          <w:vertAlign w:val="superscript"/>
        </w:rPr>
        <w:t>er</w:t>
      </w:r>
      <w:r w:rsidR="00326F5B">
        <w:rPr>
          <w:sz w:val="26"/>
        </w:rPr>
        <w:t> </w:t>
      </w:r>
      <w:r>
        <w:rPr>
          <w:sz w:val="26"/>
        </w:rPr>
        <w:t>mai</w:t>
      </w:r>
      <w:r w:rsidR="00326F5B">
        <w:rPr>
          <w:sz w:val="26"/>
        </w:rPr>
        <w:t> </w:t>
      </w:r>
      <w:r>
        <w:rPr>
          <w:sz w:val="26"/>
        </w:rPr>
        <w:t>2026</w:t>
      </w:r>
    </w:p>
    <w:p w14:paraId="6B824A13" w14:textId="77777777" w:rsidR="006C2D67" w:rsidRDefault="006C2D67">
      <w:pPr>
        <w:pStyle w:val="BodyText"/>
      </w:pPr>
    </w:p>
    <w:p w14:paraId="0060BB69" w14:textId="696DBDCD" w:rsidR="006C2D67" w:rsidRDefault="00155031" w:rsidP="00326F5B">
      <w:pPr>
        <w:pStyle w:val="ListParagraph"/>
        <w:numPr>
          <w:ilvl w:val="0"/>
          <w:numId w:val="1"/>
        </w:numPr>
        <w:tabs>
          <w:tab w:val="left" w:pos="828"/>
        </w:tabs>
        <w:spacing w:before="0" w:line="228" w:lineRule="auto"/>
        <w:jc w:val="both"/>
        <w:rPr>
          <w:sz w:val="26"/>
        </w:rPr>
      </w:pPr>
      <w:r>
        <w:rPr>
          <w:sz w:val="26"/>
        </w:rPr>
        <w:t>Lorsqu</w:t>
      </w:r>
      <w:r w:rsidR="00326F5B">
        <w:rPr>
          <w:sz w:val="26"/>
        </w:rPr>
        <w:t>’</w:t>
      </w:r>
      <w:r>
        <w:rPr>
          <w:sz w:val="26"/>
        </w:rPr>
        <w:t>un accusé ne se présente pas à son procès devant la Cour du Banc du Roi, ce qui comprend les requêtes préalables au procès et la détermination de la peine, un juge peut décerner un mandat d</w:t>
      </w:r>
      <w:r w:rsidR="00326F5B">
        <w:rPr>
          <w:sz w:val="26"/>
        </w:rPr>
        <w:t>’</w:t>
      </w:r>
      <w:r>
        <w:rPr>
          <w:sz w:val="26"/>
        </w:rPr>
        <w:t>arr</w:t>
      </w:r>
      <w:r w:rsidR="00BF6E5C">
        <w:rPr>
          <w:sz w:val="26"/>
        </w:rPr>
        <w:t>estation</w:t>
      </w:r>
      <w:r>
        <w:rPr>
          <w:sz w:val="26"/>
        </w:rPr>
        <w:t xml:space="preserve"> en vertu de l</w:t>
      </w:r>
      <w:r w:rsidR="00326F5B">
        <w:rPr>
          <w:sz w:val="26"/>
        </w:rPr>
        <w:t>’</w:t>
      </w:r>
      <w:r>
        <w:rPr>
          <w:sz w:val="26"/>
        </w:rPr>
        <w:t>art</w:t>
      </w:r>
      <w:r w:rsidR="00BF6E5C">
        <w:rPr>
          <w:sz w:val="26"/>
        </w:rPr>
        <w:t>. </w:t>
      </w:r>
      <w:r>
        <w:rPr>
          <w:sz w:val="26"/>
        </w:rPr>
        <w:t xml:space="preserve">597 du </w:t>
      </w:r>
      <w:r>
        <w:rPr>
          <w:i/>
          <w:sz w:val="26"/>
        </w:rPr>
        <w:t>Code criminel</w:t>
      </w:r>
      <w:r>
        <w:rPr>
          <w:sz w:val="26"/>
        </w:rPr>
        <w:t>, L.R.C.</w:t>
      </w:r>
      <w:r w:rsidR="00BF6E5C">
        <w:rPr>
          <w:sz w:val="26"/>
        </w:rPr>
        <w:t> </w:t>
      </w:r>
      <w:r>
        <w:rPr>
          <w:sz w:val="26"/>
        </w:rPr>
        <w:t>1985, ch.</w:t>
      </w:r>
      <w:r w:rsidR="00BF6E5C">
        <w:rPr>
          <w:sz w:val="26"/>
        </w:rPr>
        <w:t> </w:t>
      </w:r>
      <w:r>
        <w:rPr>
          <w:sz w:val="26"/>
        </w:rPr>
        <w:t>C</w:t>
      </w:r>
      <w:r w:rsidR="00BF6E5C">
        <w:rPr>
          <w:sz w:val="26"/>
        </w:rPr>
        <w:noBreakHyphen/>
      </w:r>
      <w:r>
        <w:rPr>
          <w:sz w:val="26"/>
        </w:rPr>
        <w:t>46.</w:t>
      </w:r>
    </w:p>
    <w:p w14:paraId="1A024C0A" w14:textId="0E10F046" w:rsidR="006C2D67" w:rsidRDefault="00155031" w:rsidP="00326F5B">
      <w:pPr>
        <w:pStyle w:val="ListParagraph"/>
        <w:numPr>
          <w:ilvl w:val="0"/>
          <w:numId w:val="1"/>
        </w:numPr>
        <w:tabs>
          <w:tab w:val="left" w:pos="828"/>
        </w:tabs>
        <w:spacing w:line="228" w:lineRule="auto"/>
        <w:jc w:val="both"/>
        <w:rPr>
          <w:sz w:val="26"/>
        </w:rPr>
      </w:pPr>
      <w:r>
        <w:rPr>
          <w:sz w:val="26"/>
        </w:rPr>
        <w:t>Un mandat décerné en application du paragraphe</w:t>
      </w:r>
      <w:r w:rsidR="00BF6E5C">
        <w:rPr>
          <w:sz w:val="26"/>
        </w:rPr>
        <w:t> </w:t>
      </w:r>
      <w:r>
        <w:rPr>
          <w:sz w:val="26"/>
        </w:rPr>
        <w:t>1 doit porter la mention «</w:t>
      </w:r>
      <w:r w:rsidR="00164015">
        <w:rPr>
          <w:sz w:val="26"/>
        </w:rPr>
        <w:t> </w:t>
      </w:r>
      <w:r>
        <w:rPr>
          <w:sz w:val="26"/>
        </w:rPr>
        <w:t>ne peut être libéré que par un juge de la Cour du Banc du Roi de la Saskatchewan</w:t>
      </w:r>
      <w:r w:rsidR="00164015">
        <w:rPr>
          <w:sz w:val="26"/>
        </w:rPr>
        <w:t> </w:t>
      </w:r>
      <w:r>
        <w:rPr>
          <w:sz w:val="26"/>
        </w:rPr>
        <w:t>». L</w:t>
      </w:r>
      <w:r w:rsidR="00326F5B">
        <w:rPr>
          <w:sz w:val="26"/>
        </w:rPr>
        <w:t>’</w:t>
      </w:r>
      <w:r>
        <w:rPr>
          <w:sz w:val="26"/>
        </w:rPr>
        <w:t>accusé visé par un mandat en exécution comparaît devant la Cour du Banc du Roi dans les plus brefs délais.</w:t>
      </w:r>
    </w:p>
    <w:p w14:paraId="60F6B432" w14:textId="4DC7394C" w:rsidR="006C2D67" w:rsidRPr="00326F5B" w:rsidRDefault="00155031" w:rsidP="00326F5B">
      <w:pPr>
        <w:pStyle w:val="ListParagraph"/>
        <w:numPr>
          <w:ilvl w:val="0"/>
          <w:numId w:val="1"/>
        </w:numPr>
        <w:tabs>
          <w:tab w:val="left" w:pos="827"/>
        </w:tabs>
        <w:spacing w:before="239" w:line="228" w:lineRule="auto"/>
        <w:ind w:right="355" w:hanging="539"/>
        <w:jc w:val="both"/>
        <w:rPr>
          <w:sz w:val="26"/>
        </w:rPr>
      </w:pPr>
      <w:r>
        <w:rPr>
          <w:sz w:val="26"/>
        </w:rPr>
        <w:t>Nonobstant le dépôt d</w:t>
      </w:r>
      <w:r w:rsidR="00326F5B">
        <w:rPr>
          <w:sz w:val="26"/>
        </w:rPr>
        <w:t>’</w:t>
      </w:r>
      <w:r>
        <w:rPr>
          <w:sz w:val="26"/>
        </w:rPr>
        <w:t>une désignation d</w:t>
      </w:r>
      <w:r w:rsidR="00326F5B">
        <w:rPr>
          <w:sz w:val="26"/>
        </w:rPr>
        <w:t>’</w:t>
      </w:r>
      <w:r>
        <w:rPr>
          <w:sz w:val="26"/>
        </w:rPr>
        <w:t>avocat, un juge peut, conformément à</w:t>
      </w:r>
      <w:r w:rsidR="00326F5B">
        <w:rPr>
          <w:sz w:val="26"/>
        </w:rPr>
        <w:t xml:space="preserve"> </w:t>
      </w:r>
      <w:r w:rsidRPr="00326F5B">
        <w:rPr>
          <w:sz w:val="26"/>
        </w:rPr>
        <w:t>l</w:t>
      </w:r>
      <w:r w:rsidR="00326F5B">
        <w:rPr>
          <w:sz w:val="26"/>
        </w:rPr>
        <w:t>’</w:t>
      </w:r>
      <w:r w:rsidRPr="00326F5B">
        <w:rPr>
          <w:sz w:val="26"/>
        </w:rPr>
        <w:t>art.</w:t>
      </w:r>
      <w:r w:rsidR="00BF6E5C">
        <w:rPr>
          <w:sz w:val="26"/>
        </w:rPr>
        <w:t> </w:t>
      </w:r>
      <w:r w:rsidRPr="00326F5B">
        <w:rPr>
          <w:sz w:val="26"/>
        </w:rPr>
        <w:t xml:space="preserve">650.01 du </w:t>
      </w:r>
      <w:r w:rsidRPr="00326F5B">
        <w:rPr>
          <w:i/>
          <w:iCs/>
          <w:sz w:val="26"/>
        </w:rPr>
        <w:t>Code criminel</w:t>
      </w:r>
      <w:r w:rsidRPr="00326F5B">
        <w:rPr>
          <w:sz w:val="26"/>
        </w:rPr>
        <w:t>, décerner une sommation ou un mandat d</w:t>
      </w:r>
      <w:r w:rsidR="00326F5B">
        <w:rPr>
          <w:sz w:val="26"/>
        </w:rPr>
        <w:t>’</w:t>
      </w:r>
      <w:r w:rsidRPr="00326F5B">
        <w:rPr>
          <w:sz w:val="26"/>
        </w:rPr>
        <w:t>arrestation pour obliger l</w:t>
      </w:r>
      <w:r w:rsidR="00326F5B">
        <w:rPr>
          <w:sz w:val="26"/>
        </w:rPr>
        <w:t>’</w:t>
      </w:r>
      <w:r w:rsidRPr="00326F5B">
        <w:rPr>
          <w:sz w:val="26"/>
        </w:rPr>
        <w:t>accusé à comparaître en personne. De même, un juge peut décerner une sommation ou un mandat d</w:t>
      </w:r>
      <w:r w:rsidR="00326F5B">
        <w:rPr>
          <w:sz w:val="26"/>
        </w:rPr>
        <w:t>’</w:t>
      </w:r>
      <w:r w:rsidRPr="00326F5B">
        <w:rPr>
          <w:sz w:val="26"/>
        </w:rPr>
        <w:t>arrestation</w:t>
      </w:r>
      <w:r w:rsidR="008C17B8">
        <w:rPr>
          <w:sz w:val="26"/>
        </w:rPr>
        <w:t xml:space="preserve"> en application de</w:t>
      </w:r>
      <w:r w:rsidRPr="00326F5B">
        <w:rPr>
          <w:sz w:val="26"/>
        </w:rPr>
        <w:t xml:space="preserve"> l</w:t>
      </w:r>
      <w:r w:rsidR="00326F5B">
        <w:rPr>
          <w:sz w:val="26"/>
        </w:rPr>
        <w:t>’</w:t>
      </w:r>
      <w:r w:rsidRPr="00326F5B">
        <w:rPr>
          <w:sz w:val="26"/>
        </w:rPr>
        <w:t>art.</w:t>
      </w:r>
      <w:r w:rsidR="00BF6E5C">
        <w:rPr>
          <w:sz w:val="26"/>
        </w:rPr>
        <w:t> </w:t>
      </w:r>
      <w:r w:rsidRPr="00326F5B">
        <w:rPr>
          <w:sz w:val="26"/>
        </w:rPr>
        <w:t xml:space="preserve">512 du </w:t>
      </w:r>
      <w:r w:rsidRPr="00326F5B">
        <w:rPr>
          <w:i/>
          <w:iCs/>
          <w:sz w:val="26"/>
        </w:rPr>
        <w:t>Code criminel</w:t>
      </w:r>
      <w:r w:rsidRPr="00326F5B">
        <w:rPr>
          <w:sz w:val="26"/>
        </w:rPr>
        <w:t xml:space="preserve"> lorsqu</w:t>
      </w:r>
      <w:r w:rsidR="00326F5B">
        <w:rPr>
          <w:sz w:val="26"/>
        </w:rPr>
        <w:t>’</w:t>
      </w:r>
      <w:r w:rsidRPr="00326F5B">
        <w:rPr>
          <w:sz w:val="26"/>
        </w:rPr>
        <w:t>il a des motifs raisonnables de croire qu</w:t>
      </w:r>
      <w:r w:rsidR="00326F5B">
        <w:rPr>
          <w:sz w:val="26"/>
        </w:rPr>
        <w:t>’</w:t>
      </w:r>
      <w:r w:rsidRPr="00326F5B">
        <w:rPr>
          <w:sz w:val="26"/>
        </w:rPr>
        <w:t>il est nécessaire d</w:t>
      </w:r>
      <w:r w:rsidR="00326F5B">
        <w:rPr>
          <w:sz w:val="26"/>
        </w:rPr>
        <w:t>’</w:t>
      </w:r>
      <w:r w:rsidRPr="00326F5B">
        <w:rPr>
          <w:sz w:val="26"/>
        </w:rPr>
        <w:t>agir de la sorte dans l</w:t>
      </w:r>
      <w:r w:rsidR="00326F5B">
        <w:rPr>
          <w:sz w:val="26"/>
        </w:rPr>
        <w:t>’</w:t>
      </w:r>
      <w:r w:rsidRPr="00326F5B">
        <w:rPr>
          <w:sz w:val="26"/>
        </w:rPr>
        <w:t>intérêt du public. En règle générale, ces mandats sont délivrés par un juge avant le procès pour obliger l</w:t>
      </w:r>
      <w:r w:rsidR="00326F5B">
        <w:rPr>
          <w:sz w:val="26"/>
        </w:rPr>
        <w:t>’</w:t>
      </w:r>
      <w:r w:rsidRPr="00326F5B">
        <w:rPr>
          <w:sz w:val="26"/>
        </w:rPr>
        <w:t>accusé à comparaître lorsque son avocat désigné a perdu le contact avec lui ou a demandé ou obtenu l</w:t>
      </w:r>
      <w:r w:rsidR="00326F5B">
        <w:rPr>
          <w:sz w:val="26"/>
        </w:rPr>
        <w:t>’</w:t>
      </w:r>
      <w:r w:rsidRPr="00326F5B">
        <w:rPr>
          <w:sz w:val="26"/>
        </w:rPr>
        <w:t>autorisation de se retirer.</w:t>
      </w:r>
    </w:p>
    <w:p w14:paraId="736BC9A3" w14:textId="26DF32CA" w:rsidR="006C2D67" w:rsidRDefault="00155031" w:rsidP="00326F5B">
      <w:pPr>
        <w:pStyle w:val="ListParagraph"/>
        <w:numPr>
          <w:ilvl w:val="0"/>
          <w:numId w:val="1"/>
        </w:numPr>
        <w:tabs>
          <w:tab w:val="left" w:pos="828"/>
        </w:tabs>
        <w:spacing w:before="240" w:line="228" w:lineRule="auto"/>
        <w:ind w:right="357"/>
        <w:jc w:val="both"/>
        <w:rPr>
          <w:sz w:val="26"/>
        </w:rPr>
      </w:pPr>
      <w:r>
        <w:rPr>
          <w:sz w:val="26"/>
        </w:rPr>
        <w:t>Un mandat délivré en vertu du paragraphe</w:t>
      </w:r>
      <w:r w:rsidR="00BF6E5C">
        <w:rPr>
          <w:sz w:val="26"/>
        </w:rPr>
        <w:t> </w:t>
      </w:r>
      <w:r>
        <w:rPr>
          <w:sz w:val="26"/>
        </w:rPr>
        <w:t>3 est assorti de la mention «</w:t>
      </w:r>
      <w:r w:rsidR="00164015">
        <w:rPr>
          <w:sz w:val="26"/>
        </w:rPr>
        <w:t> </w:t>
      </w:r>
      <w:r>
        <w:rPr>
          <w:sz w:val="26"/>
        </w:rPr>
        <w:t>ne peut être libéré avant de comparaître devant un juge de la Cour du Banc du Roi de la Saskatchewan et, par la suite, pendant les procédures que requiert la loi</w:t>
      </w:r>
      <w:r w:rsidR="00164015">
        <w:rPr>
          <w:sz w:val="26"/>
        </w:rPr>
        <w:t> </w:t>
      </w:r>
      <w:r>
        <w:rPr>
          <w:sz w:val="26"/>
        </w:rPr>
        <w:t>». L</w:t>
      </w:r>
      <w:r w:rsidR="00326F5B">
        <w:rPr>
          <w:sz w:val="26"/>
        </w:rPr>
        <w:t>’</w:t>
      </w:r>
      <w:r>
        <w:rPr>
          <w:sz w:val="26"/>
        </w:rPr>
        <w:t>accusé visé par un mandat en exécution comparaît devant la Cour du Banc du Roi dans les plus brefs délais.</w:t>
      </w:r>
    </w:p>
    <w:p w14:paraId="09236C80" w14:textId="578BE44F" w:rsidR="006C2D67" w:rsidRDefault="00155031" w:rsidP="00326F5B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28" w:lineRule="auto"/>
        <w:ind w:left="835" w:right="356" w:hanging="548"/>
        <w:jc w:val="both"/>
        <w:rPr>
          <w:sz w:val="26"/>
        </w:rPr>
      </w:pPr>
      <w:r>
        <w:rPr>
          <w:sz w:val="26"/>
        </w:rPr>
        <w:t>Lorsque la Couronne demande la révocation de la libération antérieure de l</w:t>
      </w:r>
      <w:r w:rsidR="00326F5B">
        <w:rPr>
          <w:sz w:val="26"/>
        </w:rPr>
        <w:t>’</w:t>
      </w:r>
      <w:r>
        <w:rPr>
          <w:sz w:val="26"/>
        </w:rPr>
        <w:t>accusé à la suite de l</w:t>
      </w:r>
      <w:r w:rsidR="00326F5B">
        <w:rPr>
          <w:sz w:val="26"/>
        </w:rPr>
        <w:t>’</w:t>
      </w:r>
      <w:r>
        <w:rPr>
          <w:sz w:val="26"/>
        </w:rPr>
        <w:t>exécution d</w:t>
      </w:r>
      <w:r w:rsidR="00326F5B">
        <w:rPr>
          <w:sz w:val="26"/>
        </w:rPr>
        <w:t>’</w:t>
      </w:r>
      <w:r>
        <w:rPr>
          <w:sz w:val="26"/>
        </w:rPr>
        <w:t>un mandat délivré en vertu du paragraphe</w:t>
      </w:r>
      <w:r w:rsidR="00BF6E5C">
        <w:rPr>
          <w:sz w:val="26"/>
        </w:rPr>
        <w:t> </w:t>
      </w:r>
      <w:r>
        <w:rPr>
          <w:sz w:val="26"/>
        </w:rPr>
        <w:t>1 de la présente directive de pratique (défaut de comparaître au procès) ou à l</w:t>
      </w:r>
      <w:r w:rsidR="00326F5B">
        <w:rPr>
          <w:sz w:val="26"/>
        </w:rPr>
        <w:t>’</w:t>
      </w:r>
      <w:r>
        <w:rPr>
          <w:sz w:val="26"/>
        </w:rPr>
        <w:t>égard de l</w:t>
      </w:r>
      <w:r w:rsidR="00326F5B">
        <w:rPr>
          <w:sz w:val="26"/>
        </w:rPr>
        <w:t>’</w:t>
      </w:r>
      <w:r>
        <w:rPr>
          <w:sz w:val="26"/>
        </w:rPr>
        <w:t>accusé inculpé d</w:t>
      </w:r>
      <w:r w:rsidR="00326F5B">
        <w:rPr>
          <w:sz w:val="26"/>
        </w:rPr>
        <w:t>’</w:t>
      </w:r>
      <w:r>
        <w:rPr>
          <w:sz w:val="26"/>
        </w:rPr>
        <w:t>une infraction visée à l</w:t>
      </w:r>
      <w:r w:rsidR="00326F5B">
        <w:rPr>
          <w:sz w:val="26"/>
        </w:rPr>
        <w:t>’</w:t>
      </w:r>
      <w:r>
        <w:rPr>
          <w:sz w:val="26"/>
        </w:rPr>
        <w:t>a</w:t>
      </w:r>
      <w:r w:rsidR="00BF6E5C">
        <w:rPr>
          <w:sz w:val="26"/>
        </w:rPr>
        <w:t>rt. </w:t>
      </w:r>
      <w:r>
        <w:rPr>
          <w:sz w:val="26"/>
        </w:rPr>
        <w:t>469 ou faisant l</w:t>
      </w:r>
      <w:r w:rsidR="00326F5B">
        <w:rPr>
          <w:sz w:val="26"/>
        </w:rPr>
        <w:t>’</w:t>
      </w:r>
      <w:r>
        <w:rPr>
          <w:sz w:val="26"/>
        </w:rPr>
        <w:t>objet d</w:t>
      </w:r>
      <w:r w:rsidR="00326F5B">
        <w:rPr>
          <w:sz w:val="26"/>
        </w:rPr>
        <w:t>’</w:t>
      </w:r>
      <w:r>
        <w:rPr>
          <w:sz w:val="26"/>
        </w:rPr>
        <w:t>un acte d</w:t>
      </w:r>
      <w:r w:rsidR="00326F5B">
        <w:rPr>
          <w:sz w:val="26"/>
        </w:rPr>
        <w:t>’</w:t>
      </w:r>
      <w:r>
        <w:rPr>
          <w:sz w:val="26"/>
        </w:rPr>
        <w:t>accusation direct, l</w:t>
      </w:r>
      <w:r w:rsidR="00326F5B">
        <w:rPr>
          <w:sz w:val="26"/>
        </w:rPr>
        <w:t>’</w:t>
      </w:r>
      <w:r>
        <w:rPr>
          <w:sz w:val="26"/>
        </w:rPr>
        <w:t>audience de révocation se tient devant la Cour du Banc du Roi de la Saskatchewan. Toutes les autres audiences de révocation se tiennent devant la Cour provinciale après que l</w:t>
      </w:r>
      <w:r w:rsidR="00326F5B">
        <w:rPr>
          <w:sz w:val="26"/>
        </w:rPr>
        <w:t>’</w:t>
      </w:r>
      <w:r>
        <w:rPr>
          <w:sz w:val="26"/>
        </w:rPr>
        <w:t>accusé a comparu devant la Cour du Banc du Roi de la Saskatchewan en vertu du mandat.</w:t>
      </w:r>
    </w:p>
    <w:p w14:paraId="2F062EC3" w14:textId="77777777" w:rsidR="006C2D67" w:rsidRDefault="006C2D67" w:rsidP="00326F5B">
      <w:pPr>
        <w:pStyle w:val="BodyText"/>
        <w:spacing w:before="240" w:line="228" w:lineRule="auto"/>
      </w:pPr>
    </w:p>
    <w:p w14:paraId="1B3CB487" w14:textId="40A22E6E" w:rsidR="006C2D67" w:rsidRDefault="00155031" w:rsidP="00326F5B">
      <w:pPr>
        <w:pStyle w:val="BodyText"/>
        <w:spacing w:before="1" w:line="228" w:lineRule="auto"/>
        <w:ind w:left="5079" w:firstLine="1313"/>
      </w:pPr>
      <w:r>
        <w:t>M.D.</w:t>
      </w:r>
      <w:r w:rsidR="00BF6E5C">
        <w:t> </w:t>
      </w:r>
      <w:r>
        <w:t>Popescul, juge en chef Cour du Banc du Roi de la Saskatchewan</w:t>
      </w:r>
    </w:p>
    <w:sectPr w:rsidR="006C2D67">
      <w:type w:val="continuous"/>
      <w:pgSz w:w="12240" w:h="15840"/>
      <w:pgMar w:top="2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E940" w14:textId="77777777" w:rsidR="003D454B" w:rsidRDefault="003D454B" w:rsidP="00164015">
      <w:r>
        <w:separator/>
      </w:r>
    </w:p>
  </w:endnote>
  <w:endnote w:type="continuationSeparator" w:id="0">
    <w:p w14:paraId="28594C52" w14:textId="77777777" w:rsidR="003D454B" w:rsidRDefault="003D454B" w:rsidP="0016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80CC" w14:textId="77777777" w:rsidR="003D454B" w:rsidRDefault="003D454B" w:rsidP="00164015">
      <w:r>
        <w:separator/>
      </w:r>
    </w:p>
  </w:footnote>
  <w:footnote w:type="continuationSeparator" w:id="0">
    <w:p w14:paraId="7B5F2CFF" w14:textId="77777777" w:rsidR="003D454B" w:rsidRDefault="003D454B" w:rsidP="0016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52475"/>
    <w:multiLevelType w:val="hybridMultilevel"/>
    <w:tmpl w:val="CE5295D0"/>
    <w:lvl w:ilvl="0" w:tplc="CC0EE752">
      <w:start w:val="1"/>
      <w:numFmt w:val="decimal"/>
      <w:lvlText w:val="%1."/>
      <w:lvlJc w:val="left"/>
      <w:pPr>
        <w:ind w:left="82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C69621D0">
      <w:numFmt w:val="bullet"/>
      <w:lvlText w:val="•"/>
      <w:lvlJc w:val="left"/>
      <w:pPr>
        <w:ind w:left="1710" w:hanging="540"/>
      </w:pPr>
      <w:rPr>
        <w:rFonts w:hint="default"/>
        <w:lang w:val="en-US" w:eastAsia="en-US" w:bidi="ar-SA"/>
      </w:rPr>
    </w:lvl>
    <w:lvl w:ilvl="2" w:tplc="9A76463A">
      <w:numFmt w:val="bullet"/>
      <w:lvlText w:val="•"/>
      <w:lvlJc w:val="left"/>
      <w:pPr>
        <w:ind w:left="2600" w:hanging="540"/>
      </w:pPr>
      <w:rPr>
        <w:rFonts w:hint="default"/>
        <w:lang w:val="en-US" w:eastAsia="en-US" w:bidi="ar-SA"/>
      </w:rPr>
    </w:lvl>
    <w:lvl w:ilvl="3" w:tplc="9F58660E">
      <w:numFmt w:val="bullet"/>
      <w:lvlText w:val="•"/>
      <w:lvlJc w:val="left"/>
      <w:pPr>
        <w:ind w:left="3490" w:hanging="540"/>
      </w:pPr>
      <w:rPr>
        <w:rFonts w:hint="default"/>
        <w:lang w:val="en-US" w:eastAsia="en-US" w:bidi="ar-SA"/>
      </w:rPr>
    </w:lvl>
    <w:lvl w:ilvl="4" w:tplc="AB28B2B6">
      <w:numFmt w:val="bullet"/>
      <w:lvlText w:val="•"/>
      <w:lvlJc w:val="left"/>
      <w:pPr>
        <w:ind w:left="4380" w:hanging="540"/>
      </w:pPr>
      <w:rPr>
        <w:rFonts w:hint="default"/>
        <w:lang w:val="en-US" w:eastAsia="en-US" w:bidi="ar-SA"/>
      </w:rPr>
    </w:lvl>
    <w:lvl w:ilvl="5" w:tplc="7FA45ED8">
      <w:numFmt w:val="bullet"/>
      <w:lvlText w:val="•"/>
      <w:lvlJc w:val="left"/>
      <w:pPr>
        <w:ind w:left="5270" w:hanging="540"/>
      </w:pPr>
      <w:rPr>
        <w:rFonts w:hint="default"/>
        <w:lang w:val="en-US" w:eastAsia="en-US" w:bidi="ar-SA"/>
      </w:rPr>
    </w:lvl>
    <w:lvl w:ilvl="6" w:tplc="14E28720">
      <w:numFmt w:val="bullet"/>
      <w:lvlText w:val="•"/>
      <w:lvlJc w:val="left"/>
      <w:pPr>
        <w:ind w:left="6160" w:hanging="540"/>
      </w:pPr>
      <w:rPr>
        <w:rFonts w:hint="default"/>
        <w:lang w:val="en-US" w:eastAsia="en-US" w:bidi="ar-SA"/>
      </w:rPr>
    </w:lvl>
    <w:lvl w:ilvl="7" w:tplc="409E6610">
      <w:numFmt w:val="bullet"/>
      <w:lvlText w:val="•"/>
      <w:lvlJc w:val="left"/>
      <w:pPr>
        <w:ind w:left="7050" w:hanging="540"/>
      </w:pPr>
      <w:rPr>
        <w:rFonts w:hint="default"/>
        <w:lang w:val="en-US" w:eastAsia="en-US" w:bidi="ar-SA"/>
      </w:rPr>
    </w:lvl>
    <w:lvl w:ilvl="8" w:tplc="CADE2122">
      <w:numFmt w:val="bullet"/>
      <w:lvlText w:val="•"/>
      <w:lvlJc w:val="left"/>
      <w:pPr>
        <w:ind w:left="7940" w:hanging="540"/>
      </w:pPr>
      <w:rPr>
        <w:rFonts w:hint="default"/>
        <w:lang w:val="en-US" w:eastAsia="en-US" w:bidi="ar-SA"/>
      </w:rPr>
    </w:lvl>
  </w:abstractNum>
  <w:num w:numId="1" w16cid:durableId="23424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7"/>
    <w:rsid w:val="000C1192"/>
    <w:rsid w:val="000F66E6"/>
    <w:rsid w:val="00155031"/>
    <w:rsid w:val="00164015"/>
    <w:rsid w:val="00273CA3"/>
    <w:rsid w:val="00326F5B"/>
    <w:rsid w:val="003D454B"/>
    <w:rsid w:val="005314DF"/>
    <w:rsid w:val="006C2D67"/>
    <w:rsid w:val="006F4AF8"/>
    <w:rsid w:val="008C17B8"/>
    <w:rsid w:val="00BF6E5C"/>
    <w:rsid w:val="00CF37E9"/>
    <w:rsid w:val="00E464AB"/>
    <w:rsid w:val="00EB3DB7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E8BA"/>
  <w15:docId w15:val="{1C27B932-B129-4F22-891D-11E2EBAC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41"/>
      <w:ind w:left="828" w:right="358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4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0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4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0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Fulawka, Loretta</dc:creator>
  <cp:lastModifiedBy>Shire, Christeen</cp:lastModifiedBy>
  <cp:revision>2</cp:revision>
  <dcterms:created xsi:type="dcterms:W3CDTF">2026-04-30T21:42:00Z</dcterms:created>
  <dcterms:modified xsi:type="dcterms:W3CDTF">2026-04-30T21:42:00Z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for Microsoft 365</vt:lpwstr>
  </property>
</Properties>
</file>